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869" w14:paraId="3DD0B98A" w14:textId="77777777" w:rsidTr="00A24E51">
        <w:trPr>
          <w:trHeight w:val="39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056CE66E" w14:textId="5F9E44E9" w:rsidR="00DC6869" w:rsidRPr="003B2954" w:rsidRDefault="002C462F" w:rsidP="00D658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32706181"/>
            <w:r w:rsidRPr="003B2954">
              <w:rPr>
                <w:rFonts w:ascii="Times New Roman" w:hAnsi="Times New Roman" w:cs="Times New Roman"/>
                <w:b/>
                <w:bCs/>
              </w:rPr>
              <w:t xml:space="preserve">ANNEX II - </w:t>
            </w:r>
            <w:r w:rsidR="00DC6869" w:rsidRPr="003B2954">
              <w:rPr>
                <w:rFonts w:ascii="Times New Roman" w:hAnsi="Times New Roman" w:cs="Times New Roman"/>
                <w:b/>
                <w:bCs/>
              </w:rPr>
              <w:t>WRITING THE INCEPTION REPORT</w:t>
            </w:r>
          </w:p>
        </w:tc>
      </w:tr>
      <w:bookmarkEnd w:id="0"/>
    </w:tbl>
    <w:p w14:paraId="32FD8D79" w14:textId="045CA290" w:rsidR="00DC6869" w:rsidRDefault="00DC6869" w:rsidP="00D658F1">
      <w:pPr>
        <w:spacing w:after="0" w:line="240" w:lineRule="auto"/>
        <w:rPr>
          <w:rFonts w:ascii="Times New Roman" w:hAnsi="Times New Roman" w:cs="Times New Roman"/>
        </w:rPr>
      </w:pPr>
    </w:p>
    <w:p w14:paraId="24655EB4" w14:textId="1E04DA2C" w:rsidR="0067385C" w:rsidRDefault="00546A9A" w:rsidP="00D658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document provides guidance to the evaluation consultants, in order to ensure </w:t>
      </w:r>
      <w:r w:rsidR="005F2329" w:rsidRPr="005F2329">
        <w:rPr>
          <w:rFonts w:ascii="Times New Roman" w:hAnsi="Times New Roman" w:cs="Times New Roman"/>
        </w:rPr>
        <w:t xml:space="preserve">that there is </w:t>
      </w:r>
      <w:r w:rsidR="00F372BC" w:rsidRPr="005F2329">
        <w:rPr>
          <w:rFonts w:ascii="Times New Roman" w:hAnsi="Times New Roman" w:cs="Times New Roman"/>
        </w:rPr>
        <w:t>a common</w:t>
      </w:r>
      <w:r w:rsidR="005F2329">
        <w:rPr>
          <w:rFonts w:ascii="Times New Roman" w:hAnsi="Times New Roman" w:cs="Times New Roman"/>
        </w:rPr>
        <w:t xml:space="preserve"> </w:t>
      </w:r>
      <w:r w:rsidR="005F2329" w:rsidRPr="005F2329">
        <w:rPr>
          <w:rFonts w:ascii="Times New Roman" w:hAnsi="Times New Roman" w:cs="Times New Roman"/>
        </w:rPr>
        <w:t xml:space="preserve">understanding </w:t>
      </w:r>
      <w:r w:rsidR="0038667D" w:rsidRPr="005F2329">
        <w:rPr>
          <w:rFonts w:ascii="Times New Roman" w:hAnsi="Times New Roman" w:cs="Times New Roman"/>
        </w:rPr>
        <w:t>of</w:t>
      </w:r>
      <w:r w:rsidR="005F2329" w:rsidRPr="005F2329">
        <w:rPr>
          <w:rFonts w:ascii="Times New Roman" w:hAnsi="Times New Roman" w:cs="Times New Roman"/>
        </w:rPr>
        <w:t xml:space="preserve"> the Terms of Reference (TOR) and that</w:t>
      </w:r>
      <w:r w:rsidR="005F2329">
        <w:rPr>
          <w:rFonts w:ascii="Times New Roman" w:hAnsi="Times New Roman" w:cs="Times New Roman"/>
        </w:rPr>
        <w:t xml:space="preserve"> </w:t>
      </w:r>
      <w:r w:rsidR="005F2329" w:rsidRPr="005F2329">
        <w:rPr>
          <w:rFonts w:ascii="Times New Roman" w:hAnsi="Times New Roman" w:cs="Times New Roman"/>
        </w:rPr>
        <w:t xml:space="preserve">there is </w:t>
      </w:r>
      <w:r w:rsidR="00F716C2" w:rsidRPr="005F2329">
        <w:rPr>
          <w:rFonts w:ascii="Times New Roman" w:hAnsi="Times New Roman" w:cs="Times New Roman"/>
        </w:rPr>
        <w:t>clarity</w:t>
      </w:r>
      <w:r w:rsidR="005F2329" w:rsidRPr="005F2329">
        <w:rPr>
          <w:rFonts w:ascii="Times New Roman" w:hAnsi="Times New Roman" w:cs="Times New Roman"/>
        </w:rPr>
        <w:t xml:space="preserve"> on scope and approach of the evaluation</w:t>
      </w:r>
      <w:r w:rsidR="005F2329">
        <w:rPr>
          <w:rFonts w:ascii="Times New Roman" w:hAnsi="Times New Roman" w:cs="Times New Roman"/>
        </w:rPr>
        <w:t xml:space="preserve">. </w:t>
      </w:r>
      <w:r w:rsidRPr="00546A9A">
        <w:rPr>
          <w:rFonts w:ascii="Times New Roman" w:hAnsi="Times New Roman" w:cs="Times New Roman"/>
        </w:rPr>
        <w:t>The inception report is a means of ensuring mutual understanding of the consultant’s</w:t>
      </w:r>
      <w:r>
        <w:rPr>
          <w:rFonts w:ascii="Times New Roman" w:hAnsi="Times New Roman" w:cs="Times New Roman"/>
        </w:rPr>
        <w:t xml:space="preserve"> </w:t>
      </w:r>
      <w:r w:rsidRPr="00546A9A">
        <w:rPr>
          <w:rFonts w:ascii="Times New Roman" w:hAnsi="Times New Roman" w:cs="Times New Roman"/>
        </w:rPr>
        <w:t>plan of action and timeline for conducting the evaluation. It also provides an additional</w:t>
      </w:r>
      <w:r>
        <w:rPr>
          <w:rFonts w:ascii="Times New Roman" w:hAnsi="Times New Roman" w:cs="Times New Roman"/>
        </w:rPr>
        <w:t xml:space="preserve"> </w:t>
      </w:r>
      <w:r w:rsidRPr="00546A9A">
        <w:rPr>
          <w:rFonts w:ascii="Times New Roman" w:hAnsi="Times New Roman" w:cs="Times New Roman"/>
        </w:rPr>
        <w:t>guarantee of adherence to, and interpretation of the TOR.</w:t>
      </w:r>
    </w:p>
    <w:p w14:paraId="675E901B" w14:textId="77777777" w:rsidR="00D90EB1" w:rsidRDefault="00D90EB1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385C" w14:paraId="6BFD6A33" w14:textId="77777777" w:rsidTr="0067385C">
        <w:trPr>
          <w:trHeight w:val="39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1B0D658C" w14:textId="4D6FBE40" w:rsidR="0067385C" w:rsidRPr="0038667D" w:rsidRDefault="0067385C" w:rsidP="00D65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bookmarkStart w:id="1" w:name="_Hlk132705772"/>
            <w:r w:rsidRPr="0038667D">
              <w:rPr>
                <w:rFonts w:ascii="Times New Roman" w:hAnsi="Times New Roman" w:cs="Times New Roman"/>
                <w:b/>
                <w:bCs/>
              </w:rPr>
              <w:t>ADHERENCE TO THE TOR</w:t>
            </w:r>
          </w:p>
        </w:tc>
      </w:tr>
      <w:bookmarkEnd w:id="1"/>
    </w:tbl>
    <w:p w14:paraId="6AC2C1CC" w14:textId="77777777" w:rsidR="0067385C" w:rsidRPr="00546A9A" w:rsidRDefault="0067385C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16770B" w14:textId="762E4E1C" w:rsidR="0037792E" w:rsidRDefault="0033185A" w:rsidP="00D65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85A">
        <w:rPr>
          <w:rFonts w:ascii="Times New Roman" w:hAnsi="Times New Roman" w:cs="Times New Roman"/>
        </w:rPr>
        <w:t>The inception report should describe the conceptual framework</w:t>
      </w:r>
      <w:r>
        <w:rPr>
          <w:rFonts w:ascii="Times New Roman" w:hAnsi="Times New Roman" w:cs="Times New Roman"/>
        </w:rPr>
        <w:t xml:space="preserve"> </w:t>
      </w:r>
      <w:r w:rsidRPr="0033185A">
        <w:rPr>
          <w:rFonts w:ascii="Times New Roman" w:hAnsi="Times New Roman" w:cs="Times New Roman"/>
        </w:rPr>
        <w:t>planned for undertaking the evaluation in line with the</w:t>
      </w:r>
      <w:r>
        <w:rPr>
          <w:rFonts w:ascii="Times New Roman" w:hAnsi="Times New Roman" w:cs="Times New Roman"/>
        </w:rPr>
        <w:t xml:space="preserve"> </w:t>
      </w:r>
      <w:r w:rsidRPr="0033185A">
        <w:rPr>
          <w:rFonts w:ascii="Times New Roman" w:hAnsi="Times New Roman" w:cs="Times New Roman"/>
        </w:rPr>
        <w:t>scope and purpose described in the evaluation T</w:t>
      </w:r>
      <w:r>
        <w:rPr>
          <w:rFonts w:ascii="Times New Roman" w:hAnsi="Times New Roman" w:cs="Times New Roman"/>
        </w:rPr>
        <w:t>O</w:t>
      </w:r>
      <w:r w:rsidRPr="0033185A">
        <w:rPr>
          <w:rFonts w:ascii="Times New Roman" w:hAnsi="Times New Roman" w:cs="Times New Roman"/>
        </w:rPr>
        <w:t xml:space="preserve">R. </w:t>
      </w:r>
      <w:r w:rsidR="00DF4E2C" w:rsidRPr="00DF4E2C">
        <w:rPr>
          <w:rFonts w:ascii="Times New Roman" w:hAnsi="Times New Roman" w:cs="Times New Roman"/>
        </w:rPr>
        <w:t>The</w:t>
      </w:r>
      <w:r w:rsidR="00DF4E2C">
        <w:rPr>
          <w:rFonts w:ascii="Times New Roman" w:hAnsi="Times New Roman" w:cs="Times New Roman"/>
        </w:rPr>
        <w:t xml:space="preserve"> </w:t>
      </w:r>
      <w:r w:rsidR="00DF4E2C" w:rsidRPr="00DF4E2C">
        <w:rPr>
          <w:rFonts w:ascii="Times New Roman" w:hAnsi="Times New Roman" w:cs="Times New Roman"/>
        </w:rPr>
        <w:t>conceptual framework should be consistent with</w:t>
      </w:r>
      <w:r w:rsidR="0038667D">
        <w:rPr>
          <w:rFonts w:ascii="Times New Roman" w:hAnsi="Times New Roman" w:cs="Times New Roman"/>
        </w:rPr>
        <w:t xml:space="preserve"> </w:t>
      </w:r>
      <w:r w:rsidR="0038667D" w:rsidRPr="00BE6D19">
        <w:rPr>
          <w:rFonts w:ascii="Times New Roman" w:hAnsi="Times New Roman" w:cs="Times New Roman"/>
        </w:rPr>
        <w:t>CACH</w:t>
      </w:r>
      <w:r w:rsidR="00DF4E2C" w:rsidRPr="00BE6D19">
        <w:rPr>
          <w:rFonts w:ascii="Times New Roman" w:hAnsi="Times New Roman" w:cs="Times New Roman"/>
        </w:rPr>
        <w:t xml:space="preserve"> Results</w:t>
      </w:r>
      <w:r w:rsidR="00EC4852" w:rsidRPr="00BE6D19">
        <w:rPr>
          <w:rFonts w:ascii="Times New Roman" w:hAnsi="Times New Roman" w:cs="Times New Roman"/>
        </w:rPr>
        <w:t xml:space="preserve"> </w:t>
      </w:r>
      <w:r w:rsidR="00DF4E2C" w:rsidRPr="00BE6D19">
        <w:rPr>
          <w:rFonts w:ascii="Times New Roman" w:hAnsi="Times New Roman" w:cs="Times New Roman"/>
        </w:rPr>
        <w:t xml:space="preserve">Based Management (RBM) </w:t>
      </w:r>
      <w:r w:rsidR="00DF4E2C" w:rsidRPr="00DF4E2C">
        <w:rPr>
          <w:rFonts w:ascii="Times New Roman" w:hAnsi="Times New Roman" w:cs="Times New Roman"/>
        </w:rPr>
        <w:t>system</w:t>
      </w:r>
      <w:r w:rsidR="00DF4E2C">
        <w:rPr>
          <w:rFonts w:ascii="Times New Roman" w:hAnsi="Times New Roman" w:cs="Times New Roman"/>
        </w:rPr>
        <w:t xml:space="preserve"> </w:t>
      </w:r>
      <w:r w:rsidR="0067385C" w:rsidRPr="0067385C">
        <w:rPr>
          <w:rFonts w:ascii="Times New Roman" w:hAnsi="Times New Roman" w:cs="Times New Roman"/>
        </w:rPr>
        <w:t>and should address the following criteria proposed</w:t>
      </w:r>
      <w:r w:rsidR="0067385C">
        <w:rPr>
          <w:rFonts w:ascii="Times New Roman" w:hAnsi="Times New Roman" w:cs="Times New Roman"/>
        </w:rPr>
        <w:t xml:space="preserve"> </w:t>
      </w:r>
      <w:r w:rsidR="0067385C" w:rsidRPr="0067385C">
        <w:rPr>
          <w:rFonts w:ascii="Times New Roman" w:hAnsi="Times New Roman" w:cs="Times New Roman"/>
        </w:rPr>
        <w:t xml:space="preserve">by the OECD: </w:t>
      </w:r>
      <w:r w:rsidR="0067385C" w:rsidRPr="00C063CB">
        <w:rPr>
          <w:rFonts w:ascii="Times New Roman" w:hAnsi="Times New Roman" w:cs="Times New Roman"/>
          <w:b/>
          <w:bCs/>
        </w:rPr>
        <w:t>relevance,</w:t>
      </w:r>
      <w:r w:rsidR="003225F0" w:rsidRPr="00C063CB">
        <w:rPr>
          <w:rFonts w:ascii="Times New Roman" w:hAnsi="Times New Roman" w:cs="Times New Roman"/>
          <w:b/>
          <w:bCs/>
        </w:rPr>
        <w:t xml:space="preserve"> </w:t>
      </w:r>
      <w:r w:rsidR="0067385C" w:rsidRPr="00C063CB">
        <w:rPr>
          <w:rFonts w:ascii="Times New Roman" w:hAnsi="Times New Roman" w:cs="Times New Roman"/>
          <w:b/>
          <w:bCs/>
        </w:rPr>
        <w:t>effectiveness,</w:t>
      </w:r>
      <w:r w:rsidR="003225F0" w:rsidRPr="00C063CB">
        <w:rPr>
          <w:rFonts w:ascii="Times New Roman" w:hAnsi="Times New Roman" w:cs="Times New Roman"/>
          <w:b/>
          <w:bCs/>
        </w:rPr>
        <w:t xml:space="preserve"> </w:t>
      </w:r>
      <w:r w:rsidR="003B772B" w:rsidRPr="00C063CB">
        <w:rPr>
          <w:rFonts w:ascii="Times New Roman" w:hAnsi="Times New Roman" w:cs="Times New Roman"/>
          <w:b/>
          <w:bCs/>
        </w:rPr>
        <w:t>efficiency</w:t>
      </w:r>
      <w:r w:rsidR="003B772B">
        <w:rPr>
          <w:rFonts w:ascii="Times New Roman" w:hAnsi="Times New Roman" w:cs="Times New Roman"/>
          <w:b/>
          <w:bCs/>
        </w:rPr>
        <w:t xml:space="preserve">, </w:t>
      </w:r>
      <w:r w:rsidR="00F13FA6">
        <w:rPr>
          <w:rFonts w:ascii="Times New Roman" w:hAnsi="Times New Roman" w:cs="Times New Roman"/>
          <w:b/>
          <w:bCs/>
        </w:rPr>
        <w:t xml:space="preserve">impact </w:t>
      </w:r>
      <w:r w:rsidR="00F716C2">
        <w:rPr>
          <w:rFonts w:ascii="Times New Roman" w:hAnsi="Times New Roman" w:cs="Times New Roman"/>
          <w:b/>
          <w:bCs/>
        </w:rPr>
        <w:t>and</w:t>
      </w:r>
      <w:r w:rsidR="003B772B">
        <w:rPr>
          <w:rFonts w:ascii="Times New Roman" w:hAnsi="Times New Roman" w:cs="Times New Roman"/>
          <w:b/>
          <w:bCs/>
        </w:rPr>
        <w:t xml:space="preserve"> sustainability</w:t>
      </w:r>
      <w:r w:rsidR="00F716C2">
        <w:rPr>
          <w:rFonts w:ascii="Times New Roman" w:hAnsi="Times New Roman" w:cs="Times New Roman"/>
          <w:b/>
          <w:bCs/>
        </w:rPr>
        <w:t xml:space="preserve">. </w:t>
      </w:r>
      <w:r w:rsidR="0067385C" w:rsidRPr="0067385C">
        <w:rPr>
          <w:rFonts w:ascii="Times New Roman" w:hAnsi="Times New Roman" w:cs="Times New Roman"/>
        </w:rPr>
        <w:t xml:space="preserve">For each of the above-listed criteria, the </w:t>
      </w:r>
      <w:r w:rsidR="00146261" w:rsidRPr="00146261">
        <w:rPr>
          <w:rFonts w:ascii="Times New Roman" w:hAnsi="Times New Roman" w:cs="Times New Roman"/>
        </w:rPr>
        <w:t>CACH/YENI</w:t>
      </w:r>
      <w:r w:rsidR="0067385C" w:rsidRPr="00146261">
        <w:rPr>
          <w:rFonts w:ascii="Times New Roman" w:hAnsi="Times New Roman" w:cs="Times New Roman"/>
        </w:rPr>
        <w:t xml:space="preserve"> </w:t>
      </w:r>
      <w:r w:rsidR="0067385C" w:rsidRPr="0067385C">
        <w:rPr>
          <w:rFonts w:ascii="Times New Roman" w:hAnsi="Times New Roman" w:cs="Times New Roman"/>
        </w:rPr>
        <w:t>should have included two or three specific evaluation questions in the TOR</w:t>
      </w:r>
      <w:r w:rsidR="0067385C">
        <w:rPr>
          <w:rFonts w:ascii="Times New Roman" w:hAnsi="Times New Roman" w:cs="Times New Roman"/>
        </w:rPr>
        <w:t>.</w:t>
      </w:r>
    </w:p>
    <w:p w14:paraId="02589315" w14:textId="77777777" w:rsidR="00D90EB1" w:rsidRDefault="00D90EB1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792E" w14:paraId="79F8842D" w14:textId="77777777" w:rsidTr="00A24E51">
        <w:trPr>
          <w:trHeight w:val="39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240F4C8D" w14:textId="7998FD29" w:rsidR="0037792E" w:rsidRPr="0038667D" w:rsidRDefault="0037792E" w:rsidP="00D65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8667D">
              <w:rPr>
                <w:rFonts w:ascii="Times New Roman" w:hAnsi="Times New Roman" w:cs="Times New Roman"/>
                <w:b/>
                <w:bCs/>
              </w:rPr>
              <w:t xml:space="preserve">EVALUATION METHODOLOGY </w:t>
            </w:r>
          </w:p>
        </w:tc>
      </w:tr>
    </w:tbl>
    <w:p w14:paraId="2221E35E" w14:textId="74A4F7B3" w:rsidR="0037792E" w:rsidRDefault="0037792E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9433DF" w14:textId="77777777" w:rsidR="006A5358" w:rsidRDefault="00130E76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30E7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evaluation </w:t>
      </w:r>
      <w:r w:rsidRPr="00130E76">
        <w:rPr>
          <w:rFonts w:ascii="Times New Roman" w:hAnsi="Times New Roman" w:cs="Times New Roman"/>
        </w:rPr>
        <w:t>consultant</w:t>
      </w:r>
      <w:r>
        <w:rPr>
          <w:rFonts w:ascii="Times New Roman" w:hAnsi="Times New Roman" w:cs="Times New Roman"/>
        </w:rPr>
        <w:t xml:space="preserve">s </w:t>
      </w:r>
      <w:r w:rsidRPr="00130E76">
        <w:rPr>
          <w:rFonts w:ascii="Times New Roman" w:hAnsi="Times New Roman" w:cs="Times New Roman"/>
        </w:rPr>
        <w:t xml:space="preserve">should adequately describe the way that the chosen </w:t>
      </w:r>
      <w:r w:rsidRPr="006A5358">
        <w:rPr>
          <w:rFonts w:ascii="Times New Roman" w:hAnsi="Times New Roman" w:cs="Times New Roman"/>
          <w:i/>
          <w:iCs/>
        </w:rPr>
        <w:t>data collection methods, data sources, sampling and indicators</w:t>
      </w:r>
      <w:r w:rsidRPr="00130E76">
        <w:rPr>
          <w:rFonts w:ascii="Times New Roman" w:hAnsi="Times New Roman" w:cs="Times New Roman"/>
        </w:rPr>
        <w:t xml:space="preserve"> will support the evaluation questions.</w:t>
      </w:r>
      <w:r w:rsidR="006A5358">
        <w:rPr>
          <w:rFonts w:ascii="Times New Roman" w:hAnsi="Times New Roman" w:cs="Times New Roman"/>
        </w:rPr>
        <w:t xml:space="preserve"> </w:t>
      </w:r>
    </w:p>
    <w:p w14:paraId="260F7AC8" w14:textId="2AC73558" w:rsidR="00130E76" w:rsidRPr="00130E76" w:rsidRDefault="00130E76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30E76">
        <w:rPr>
          <w:rFonts w:ascii="Times New Roman" w:hAnsi="Times New Roman" w:cs="Times New Roman"/>
        </w:rPr>
        <w:t xml:space="preserve">The inception report should include the </w:t>
      </w:r>
      <w:r w:rsidR="006A5358">
        <w:rPr>
          <w:rFonts w:ascii="Times New Roman" w:hAnsi="Times New Roman" w:cs="Times New Roman"/>
          <w:i/>
          <w:iCs/>
        </w:rPr>
        <w:t xml:space="preserve">evaluation </w:t>
      </w:r>
      <w:r w:rsidR="00EC4852">
        <w:rPr>
          <w:rFonts w:ascii="Times New Roman" w:hAnsi="Times New Roman" w:cs="Times New Roman"/>
          <w:i/>
          <w:iCs/>
        </w:rPr>
        <w:t>question matrix for the i</w:t>
      </w:r>
      <w:r w:rsidR="006A5358">
        <w:rPr>
          <w:rFonts w:ascii="Times New Roman" w:hAnsi="Times New Roman" w:cs="Times New Roman"/>
          <w:i/>
          <w:iCs/>
        </w:rPr>
        <w:t>nception report</w:t>
      </w:r>
      <w:r w:rsidRPr="00130E76">
        <w:rPr>
          <w:rFonts w:ascii="Times New Roman" w:hAnsi="Times New Roman" w:cs="Times New Roman"/>
        </w:rPr>
        <w:t xml:space="preserve">, </w:t>
      </w:r>
      <w:r w:rsidR="006A5358">
        <w:rPr>
          <w:rFonts w:ascii="Times New Roman" w:hAnsi="Times New Roman" w:cs="Times New Roman"/>
        </w:rPr>
        <w:t xml:space="preserve">attached as </w:t>
      </w:r>
      <w:r w:rsidRPr="00590670">
        <w:rPr>
          <w:rFonts w:ascii="Times New Roman" w:hAnsi="Times New Roman" w:cs="Times New Roman"/>
          <w:u w:val="single"/>
        </w:rPr>
        <w:t>Annex I</w:t>
      </w:r>
      <w:r w:rsidR="006A5358" w:rsidRPr="00590670">
        <w:rPr>
          <w:rFonts w:ascii="Times New Roman" w:hAnsi="Times New Roman" w:cs="Times New Roman"/>
          <w:u w:val="single"/>
        </w:rPr>
        <w:t>I</w:t>
      </w:r>
      <w:r w:rsidR="00EC4852" w:rsidRPr="00590670">
        <w:rPr>
          <w:rFonts w:ascii="Times New Roman" w:hAnsi="Times New Roman" w:cs="Times New Roman"/>
          <w:u w:val="single"/>
        </w:rPr>
        <w:t>I</w:t>
      </w:r>
      <w:r w:rsidRPr="00130E76">
        <w:rPr>
          <w:rFonts w:ascii="Times New Roman" w:hAnsi="Times New Roman" w:cs="Times New Roman"/>
        </w:rPr>
        <w:t xml:space="preserve"> of this </w:t>
      </w:r>
      <w:r w:rsidR="006A5358">
        <w:rPr>
          <w:rFonts w:ascii="Times New Roman" w:hAnsi="Times New Roman" w:cs="Times New Roman"/>
        </w:rPr>
        <w:t>TOR</w:t>
      </w:r>
      <w:r w:rsidRPr="00130E76">
        <w:rPr>
          <w:rFonts w:ascii="Times New Roman" w:hAnsi="Times New Roman" w:cs="Times New Roman"/>
        </w:rPr>
        <w:t>.</w:t>
      </w:r>
    </w:p>
    <w:p w14:paraId="7984FA81" w14:textId="088D6FA7" w:rsidR="00BD74E2" w:rsidRDefault="00130E76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30E76">
        <w:rPr>
          <w:rFonts w:ascii="Times New Roman" w:hAnsi="Times New Roman" w:cs="Times New Roman"/>
        </w:rPr>
        <w:t xml:space="preserve">It is important to check that methods draw on both </w:t>
      </w:r>
      <w:r w:rsidRPr="00BD74E2">
        <w:rPr>
          <w:rFonts w:ascii="Times New Roman" w:hAnsi="Times New Roman" w:cs="Times New Roman"/>
          <w:i/>
          <w:iCs/>
        </w:rPr>
        <w:t>subjective and objective sources</w:t>
      </w:r>
      <w:r w:rsidRPr="00130E76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r w:rsidRPr="00130E76">
        <w:rPr>
          <w:rFonts w:ascii="Times New Roman" w:hAnsi="Times New Roman" w:cs="Times New Roman"/>
        </w:rPr>
        <w:t>data</w:t>
      </w:r>
      <w:r w:rsidR="00227B24">
        <w:rPr>
          <w:rFonts w:ascii="Times New Roman" w:hAnsi="Times New Roman" w:cs="Times New Roman"/>
        </w:rPr>
        <w:t>,</w:t>
      </w:r>
      <w:r w:rsidRPr="00130E76">
        <w:rPr>
          <w:rFonts w:ascii="Times New Roman" w:hAnsi="Times New Roman" w:cs="Times New Roman"/>
        </w:rPr>
        <w:t xml:space="preserve"> which can provide a balanced and insightful report.</w:t>
      </w:r>
      <w:r>
        <w:rPr>
          <w:rFonts w:ascii="Times New Roman" w:hAnsi="Times New Roman" w:cs="Times New Roman"/>
        </w:rPr>
        <w:t xml:space="preserve"> </w:t>
      </w:r>
    </w:p>
    <w:p w14:paraId="35011E74" w14:textId="6775629C" w:rsidR="00A84905" w:rsidRDefault="00A84905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4905">
        <w:rPr>
          <w:rFonts w:ascii="Times New Roman" w:hAnsi="Times New Roman" w:cs="Times New Roman"/>
        </w:rPr>
        <w:t>The methodology must propose the measures being taken to ensure how the project’s contribution to cross cutting issues, notably on</w:t>
      </w:r>
      <w:r>
        <w:rPr>
          <w:rFonts w:ascii="Times New Roman" w:hAnsi="Times New Roman" w:cs="Times New Roman"/>
        </w:rPr>
        <w:t xml:space="preserve"> </w:t>
      </w:r>
      <w:r w:rsidRPr="00A84905">
        <w:rPr>
          <w:rFonts w:ascii="Times New Roman" w:hAnsi="Times New Roman" w:cs="Times New Roman"/>
        </w:rPr>
        <w:t>conflict sensitivity, gender, partner support and participation</w:t>
      </w:r>
      <w:r>
        <w:rPr>
          <w:rFonts w:ascii="Times New Roman" w:hAnsi="Times New Roman" w:cs="Times New Roman"/>
        </w:rPr>
        <w:t>.</w:t>
      </w:r>
    </w:p>
    <w:p w14:paraId="1D54F5C8" w14:textId="30DD0797" w:rsidR="00A84905" w:rsidRPr="00771679" w:rsidRDefault="00A84905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71679">
        <w:rPr>
          <w:rFonts w:ascii="Times New Roman" w:hAnsi="Times New Roman" w:cs="Times New Roman"/>
        </w:rPr>
        <w:t xml:space="preserve">The methodology should include examining the project </w:t>
      </w:r>
      <w:r w:rsidR="00F63D5D" w:rsidRPr="00771679">
        <w:rPr>
          <w:rFonts w:ascii="Times New Roman" w:hAnsi="Times New Roman" w:cs="Times New Roman"/>
        </w:rPr>
        <w:t>log frame</w:t>
      </w:r>
      <w:r w:rsidRPr="00771679">
        <w:rPr>
          <w:rFonts w:ascii="Times New Roman" w:hAnsi="Times New Roman" w:cs="Times New Roman"/>
        </w:rPr>
        <w:t xml:space="preserve">, including identified risks and assumptions, the logical </w:t>
      </w:r>
      <w:r w:rsidR="00771679" w:rsidRPr="00771679">
        <w:rPr>
          <w:rFonts w:ascii="Times New Roman" w:hAnsi="Times New Roman" w:cs="Times New Roman"/>
        </w:rPr>
        <w:t>connection</w:t>
      </w:r>
      <w:r w:rsidRPr="00771679">
        <w:rPr>
          <w:rFonts w:ascii="Times New Roman" w:hAnsi="Times New Roman" w:cs="Times New Roman"/>
        </w:rPr>
        <w:t xml:space="preserve"> between levels of results and how the desired change contributes to Agenda 2030</w:t>
      </w:r>
      <w:r w:rsidR="00771679" w:rsidRPr="00771679">
        <w:rPr>
          <w:rFonts w:ascii="Times New Roman" w:hAnsi="Times New Roman" w:cs="Times New Roman"/>
        </w:rPr>
        <w:t xml:space="preserve"> SDG 13</w:t>
      </w:r>
      <w:r w:rsidR="003B772B">
        <w:rPr>
          <w:rFonts w:ascii="Times New Roman" w:hAnsi="Times New Roman" w:cs="Times New Roman"/>
        </w:rPr>
        <w:t xml:space="preserve"> (Climate action)</w:t>
      </w:r>
      <w:r w:rsidR="009F4F40">
        <w:rPr>
          <w:rFonts w:ascii="Times New Roman" w:hAnsi="Times New Roman" w:cs="Times New Roman"/>
        </w:rPr>
        <w:t xml:space="preserve">, </w:t>
      </w:r>
      <w:r w:rsidR="00771679" w:rsidRPr="00771679">
        <w:rPr>
          <w:rFonts w:ascii="Times New Roman" w:hAnsi="Times New Roman" w:cs="Times New Roman"/>
        </w:rPr>
        <w:t>4</w:t>
      </w:r>
      <w:r w:rsidR="003B772B">
        <w:rPr>
          <w:rFonts w:ascii="Times New Roman" w:hAnsi="Times New Roman" w:cs="Times New Roman"/>
        </w:rPr>
        <w:t xml:space="preserve"> (Quality Education)</w:t>
      </w:r>
      <w:r w:rsidR="009F4F40">
        <w:rPr>
          <w:rFonts w:ascii="Times New Roman" w:hAnsi="Times New Roman" w:cs="Times New Roman"/>
        </w:rPr>
        <w:t xml:space="preserve"> and 7 (Clean and affordable Energy).</w:t>
      </w:r>
    </w:p>
    <w:p w14:paraId="77BF89A8" w14:textId="0D68D1BB" w:rsidR="00130E76" w:rsidRDefault="00130E76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30E76">
        <w:rPr>
          <w:rFonts w:ascii="Times New Roman" w:hAnsi="Times New Roman" w:cs="Times New Roman"/>
        </w:rPr>
        <w:t xml:space="preserve">Choice of any </w:t>
      </w:r>
      <w:r w:rsidRPr="00BD74E2">
        <w:rPr>
          <w:rFonts w:ascii="Times New Roman" w:hAnsi="Times New Roman" w:cs="Times New Roman"/>
          <w:i/>
          <w:iCs/>
        </w:rPr>
        <w:t>site visits</w:t>
      </w:r>
      <w:r w:rsidRPr="00130E76">
        <w:rPr>
          <w:rFonts w:ascii="Times New Roman" w:hAnsi="Times New Roman" w:cs="Times New Roman"/>
        </w:rPr>
        <w:t xml:space="preserve"> within </w:t>
      </w:r>
      <w:r w:rsidR="00A84905">
        <w:rPr>
          <w:rFonts w:ascii="Times New Roman" w:hAnsi="Times New Roman" w:cs="Times New Roman"/>
        </w:rPr>
        <w:t>the</w:t>
      </w:r>
      <w:r w:rsidRPr="00130E76">
        <w:rPr>
          <w:rFonts w:ascii="Times New Roman" w:hAnsi="Times New Roman" w:cs="Times New Roman"/>
        </w:rPr>
        <w:t xml:space="preserve"> country by the evaluator</w:t>
      </w:r>
      <w:r w:rsidR="003B772B">
        <w:rPr>
          <w:rFonts w:ascii="Times New Roman" w:hAnsi="Times New Roman" w:cs="Times New Roman"/>
        </w:rPr>
        <w:t>s</w:t>
      </w:r>
      <w:r w:rsidRPr="00130E76">
        <w:rPr>
          <w:rFonts w:ascii="Times New Roman" w:hAnsi="Times New Roman" w:cs="Times New Roman"/>
        </w:rPr>
        <w:t>, who is entitled to select locations</w:t>
      </w:r>
      <w:r>
        <w:rPr>
          <w:rFonts w:ascii="Times New Roman" w:hAnsi="Times New Roman" w:cs="Times New Roman"/>
        </w:rPr>
        <w:t xml:space="preserve"> </w:t>
      </w:r>
      <w:r w:rsidRPr="00130E76">
        <w:rPr>
          <w:rFonts w:ascii="Times New Roman" w:hAnsi="Times New Roman" w:cs="Times New Roman"/>
        </w:rPr>
        <w:t xml:space="preserve">randomly or based on selection criteria, should be specified in the report. </w:t>
      </w:r>
      <w:r w:rsidR="00BD74E2" w:rsidRPr="00BD74E2">
        <w:rPr>
          <w:rFonts w:ascii="Times New Roman" w:hAnsi="Times New Roman" w:cs="Times New Roman"/>
        </w:rPr>
        <w:t>Any workshops</w:t>
      </w:r>
      <w:r w:rsidR="00BD74E2">
        <w:rPr>
          <w:rFonts w:ascii="Times New Roman" w:hAnsi="Times New Roman" w:cs="Times New Roman"/>
        </w:rPr>
        <w:t xml:space="preserve"> </w:t>
      </w:r>
      <w:r w:rsidR="00BD74E2" w:rsidRPr="00BD74E2">
        <w:rPr>
          <w:rFonts w:ascii="Times New Roman" w:hAnsi="Times New Roman" w:cs="Times New Roman"/>
        </w:rPr>
        <w:t>planned for data collection, interviews or discussions should also be documented.</w:t>
      </w:r>
    </w:p>
    <w:p w14:paraId="4EB08BBF" w14:textId="1B722B3C" w:rsidR="00A84905" w:rsidRDefault="00A84905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4905">
        <w:rPr>
          <w:rFonts w:ascii="Times New Roman" w:hAnsi="Times New Roman" w:cs="Times New Roman"/>
        </w:rPr>
        <w:t>The methodology section should also note the anticipated risks/limitations and should propose possible measures to overcome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5F05" w14:paraId="37EF7BD2" w14:textId="77777777" w:rsidTr="00A24E51">
        <w:trPr>
          <w:trHeight w:val="39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61D4B34D" w14:textId="703CD6EC" w:rsidR="004C5F05" w:rsidRPr="00287D11" w:rsidRDefault="004C5F05" w:rsidP="00D65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287D11">
              <w:rPr>
                <w:rFonts w:ascii="Times New Roman" w:hAnsi="Times New Roman" w:cs="Times New Roman"/>
                <w:b/>
                <w:bCs/>
              </w:rPr>
              <w:t xml:space="preserve">WORKPLAN </w:t>
            </w:r>
          </w:p>
        </w:tc>
      </w:tr>
    </w:tbl>
    <w:p w14:paraId="4DC03597" w14:textId="5EF1670E" w:rsidR="004C5F05" w:rsidRDefault="004C5F05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0B5A7A" w14:textId="211C7E63" w:rsidR="00D4614C" w:rsidRDefault="00D4614C" w:rsidP="00D658F1">
      <w:pPr>
        <w:spacing w:line="240" w:lineRule="auto"/>
        <w:jc w:val="both"/>
        <w:rPr>
          <w:rFonts w:ascii="Times New Roman" w:hAnsi="Times New Roman" w:cs="Times New Roman"/>
        </w:rPr>
      </w:pPr>
      <w:r w:rsidRPr="00D4614C">
        <w:rPr>
          <w:rFonts w:ascii="Times New Roman" w:hAnsi="Times New Roman" w:cs="Times New Roman"/>
        </w:rPr>
        <w:t>The inception report must contain a work plan which indicates the phases of the evaluation, the timing, key deliverables and milestones. A timeline</w:t>
      </w:r>
      <w:r w:rsidR="00146261">
        <w:rPr>
          <w:rFonts w:ascii="Times New Roman" w:hAnsi="Times New Roman" w:cs="Times New Roman"/>
        </w:rPr>
        <w:t xml:space="preserve">, Gantt Chart or standard </w:t>
      </w:r>
      <w:r w:rsidRPr="00D4614C">
        <w:rPr>
          <w:rFonts w:ascii="Times New Roman" w:hAnsi="Times New Roman" w:cs="Times New Roman"/>
        </w:rPr>
        <w:t>work process</w:t>
      </w:r>
      <w:r w:rsidR="00146261">
        <w:rPr>
          <w:rFonts w:ascii="Times New Roman" w:hAnsi="Times New Roman" w:cs="Times New Roman"/>
        </w:rPr>
        <w:t xml:space="preserve"> should be used. </w:t>
      </w:r>
      <w:r w:rsidR="00146261" w:rsidRPr="00146261">
        <w:rPr>
          <w:rFonts w:ascii="Times New Roman" w:hAnsi="Times New Roman" w:cs="Times New Roman"/>
        </w:rPr>
        <w:t>This helps in communicating</w:t>
      </w:r>
      <w:r w:rsidR="00146261">
        <w:rPr>
          <w:rFonts w:ascii="Times New Roman" w:hAnsi="Times New Roman" w:cs="Times New Roman"/>
        </w:rPr>
        <w:t xml:space="preserve"> </w:t>
      </w:r>
      <w:r w:rsidR="00146261" w:rsidRPr="00146261">
        <w:rPr>
          <w:rFonts w:ascii="Times New Roman" w:hAnsi="Times New Roman" w:cs="Times New Roman"/>
        </w:rPr>
        <w:t>the work plan and timelines and in keeping track of the</w:t>
      </w:r>
      <w:r w:rsidR="00146261">
        <w:rPr>
          <w:rFonts w:ascii="Times New Roman" w:hAnsi="Times New Roman" w:cs="Times New Roman"/>
        </w:rPr>
        <w:t xml:space="preserve"> </w:t>
      </w:r>
      <w:r w:rsidR="00146261" w:rsidRPr="00146261">
        <w:rPr>
          <w:rFonts w:ascii="Times New Roman" w:hAnsi="Times New Roman" w:cs="Times New Roman"/>
        </w:rPr>
        <w:t>evaluation’s progress</w:t>
      </w:r>
      <w:r w:rsidR="00146261">
        <w:rPr>
          <w:rFonts w:ascii="Times New Roman" w:hAnsi="Times New Roman" w:cs="Times New Roman"/>
        </w:rPr>
        <w:t xml:space="preserve">. </w:t>
      </w:r>
      <w:r w:rsidR="00146261" w:rsidRPr="00146261">
        <w:rPr>
          <w:rFonts w:ascii="Times New Roman" w:hAnsi="Times New Roman" w:cs="Times New Roman"/>
        </w:rPr>
        <w:t>Any changes in the timelines proposed</w:t>
      </w:r>
      <w:r w:rsidR="00146261">
        <w:rPr>
          <w:rFonts w:ascii="Times New Roman" w:hAnsi="Times New Roman" w:cs="Times New Roman"/>
        </w:rPr>
        <w:t xml:space="preserve"> </w:t>
      </w:r>
      <w:r w:rsidR="00146261" w:rsidRPr="00146261">
        <w:rPr>
          <w:rFonts w:ascii="Times New Roman" w:hAnsi="Times New Roman" w:cs="Times New Roman"/>
        </w:rPr>
        <w:t>in the inception report should be formally communicated and</w:t>
      </w:r>
      <w:r w:rsidR="00146261">
        <w:rPr>
          <w:rFonts w:ascii="Times New Roman" w:hAnsi="Times New Roman" w:cs="Times New Roman"/>
        </w:rPr>
        <w:t xml:space="preserve"> </w:t>
      </w:r>
      <w:r w:rsidR="00146261" w:rsidRPr="00146261">
        <w:rPr>
          <w:rFonts w:ascii="Times New Roman" w:hAnsi="Times New Roman" w:cs="Times New Roman"/>
        </w:rPr>
        <w:t xml:space="preserve">agreed upon by the </w:t>
      </w:r>
      <w:r w:rsidR="00146261">
        <w:rPr>
          <w:rFonts w:ascii="Times New Roman" w:hAnsi="Times New Roman" w:cs="Times New Roman"/>
        </w:rPr>
        <w:t>CACH/YENI</w:t>
      </w:r>
      <w:r w:rsidR="00146261" w:rsidRPr="00146261">
        <w:rPr>
          <w:rFonts w:ascii="Times New Roman" w:hAnsi="Times New Roman" w:cs="Times New Roman"/>
        </w:rPr>
        <w:t xml:space="preserve"> and the Evaluator</w:t>
      </w:r>
      <w:r w:rsidR="009142A0">
        <w:rPr>
          <w:rFonts w:ascii="Times New Roman" w:hAnsi="Times New Roman" w:cs="Times New Roman"/>
        </w:rPr>
        <w:t>s</w:t>
      </w:r>
      <w:r w:rsidR="00146261" w:rsidRPr="00146261">
        <w:rPr>
          <w:rFonts w:ascii="Times New Roman" w:hAnsi="Times New Roman" w:cs="Times New Roman"/>
        </w:rPr>
        <w:t>.</w:t>
      </w:r>
    </w:p>
    <w:p w14:paraId="6F45BFFC" w14:textId="61E32207" w:rsidR="008207F7" w:rsidRDefault="008207F7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p w14:paraId="619D4D91" w14:textId="77777777" w:rsidR="008207F7" w:rsidRDefault="008207F7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p w14:paraId="4AD90F21" w14:textId="06D43016" w:rsidR="00353BA4" w:rsidRDefault="00396913" w:rsidP="00D658F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SAMPLE </w:t>
      </w:r>
      <w:r w:rsidR="00973370">
        <w:rPr>
          <w:rFonts w:ascii="Times New Roman" w:hAnsi="Times New Roman" w:cs="Times New Roman"/>
        </w:rPr>
        <w:t xml:space="preserve">TIMELINE </w:t>
      </w:r>
      <w:r>
        <w:rPr>
          <w:rFonts w:ascii="Times New Roman" w:hAnsi="Times New Roman" w:cs="Times New Roman"/>
        </w:rPr>
        <w:t>TEMPLATE</w:t>
      </w:r>
      <w:r>
        <w:rPr>
          <w:rStyle w:val="FootnoteReference"/>
          <w:rFonts w:ascii="Times New Roman" w:hAnsi="Times New Roman" w:cs="Times New Roman"/>
        </w:rPr>
        <w:footnoteReference w:id="1"/>
      </w:r>
    </w:p>
    <w:p w14:paraId="1545807B" w14:textId="77777777" w:rsidR="00606811" w:rsidRDefault="00606811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p w14:paraId="15C3E2E0" w14:textId="265EA2E9" w:rsidR="00606811" w:rsidRDefault="00606811" w:rsidP="006068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 title: 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</w:t>
      </w:r>
    </w:p>
    <w:p w14:paraId="179C8F47" w14:textId="77777777" w:rsidR="00606811" w:rsidRDefault="00606811" w:rsidP="006068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1"/>
        <w:gridCol w:w="667"/>
        <w:gridCol w:w="675"/>
        <w:gridCol w:w="667"/>
        <w:gridCol w:w="667"/>
        <w:gridCol w:w="667"/>
        <w:gridCol w:w="667"/>
        <w:gridCol w:w="667"/>
        <w:gridCol w:w="692"/>
      </w:tblGrid>
      <w:tr w:rsidR="00C47135" w:rsidRPr="00C47135" w14:paraId="7479FDCE" w14:textId="77777777" w:rsidTr="00C47135">
        <w:tc>
          <w:tcPr>
            <w:tcW w:w="3981" w:type="dxa"/>
            <w:vMerge w:val="restart"/>
            <w:shd w:val="clear" w:color="auto" w:fill="8EAADB" w:themeFill="accent1" w:themeFillTint="99"/>
            <w:vAlign w:val="center"/>
          </w:tcPr>
          <w:p w14:paraId="0159F511" w14:textId="78E67C54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ACTIVITIES AND DELIVERABLES</w:t>
            </w:r>
          </w:p>
        </w:tc>
        <w:tc>
          <w:tcPr>
            <w:tcW w:w="2676" w:type="dxa"/>
            <w:gridSpan w:val="4"/>
            <w:shd w:val="clear" w:color="auto" w:fill="8EAADB" w:themeFill="accent1" w:themeFillTint="99"/>
            <w:vAlign w:val="center"/>
          </w:tcPr>
          <w:p w14:paraId="788CE33D" w14:textId="2BB135AA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MONTH I</w:t>
            </w:r>
          </w:p>
        </w:tc>
        <w:tc>
          <w:tcPr>
            <w:tcW w:w="2693" w:type="dxa"/>
            <w:gridSpan w:val="4"/>
            <w:shd w:val="clear" w:color="auto" w:fill="8EAADB" w:themeFill="accent1" w:themeFillTint="99"/>
            <w:vAlign w:val="center"/>
          </w:tcPr>
          <w:p w14:paraId="3BC7A10B" w14:textId="0156931B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MONTH II</w:t>
            </w:r>
          </w:p>
        </w:tc>
      </w:tr>
      <w:tr w:rsidR="00C47135" w:rsidRPr="00C47135" w14:paraId="5F0179AE" w14:textId="77777777" w:rsidTr="00C47135">
        <w:tc>
          <w:tcPr>
            <w:tcW w:w="3981" w:type="dxa"/>
            <w:vMerge/>
            <w:shd w:val="clear" w:color="auto" w:fill="8EAADB" w:themeFill="accent1" w:themeFillTint="99"/>
            <w:vAlign w:val="center"/>
          </w:tcPr>
          <w:p w14:paraId="070ACDBD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44836F8D" w14:textId="45ED331A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675" w:type="dxa"/>
            <w:shd w:val="clear" w:color="auto" w:fill="B4C6E7" w:themeFill="accent1" w:themeFillTint="66"/>
            <w:vAlign w:val="center"/>
          </w:tcPr>
          <w:p w14:paraId="015B4E4A" w14:textId="151D5EEA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26D72D19" w14:textId="2B4F43DE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27E9E51C" w14:textId="0D9A7A01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53073E06" w14:textId="61BE24F2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57E33C04" w14:textId="421EFFEC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438240B7" w14:textId="31364D6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692" w:type="dxa"/>
            <w:shd w:val="clear" w:color="auto" w:fill="B4C6E7" w:themeFill="accent1" w:themeFillTint="66"/>
            <w:vAlign w:val="center"/>
          </w:tcPr>
          <w:p w14:paraId="76F98F75" w14:textId="543BB4D2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35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</w:tr>
      <w:tr w:rsidR="00C47135" w:rsidRPr="00C47135" w14:paraId="70B973E8" w14:textId="77777777" w:rsidTr="00396913">
        <w:tc>
          <w:tcPr>
            <w:tcW w:w="3981" w:type="dxa"/>
            <w:vAlign w:val="center"/>
          </w:tcPr>
          <w:p w14:paraId="56A603EB" w14:textId="49EAD1AE" w:rsidR="008207F7" w:rsidRPr="00396913" w:rsidRDefault="00396913" w:rsidP="0039691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INCEPTION PHASE</w:t>
            </w:r>
          </w:p>
        </w:tc>
        <w:tc>
          <w:tcPr>
            <w:tcW w:w="667" w:type="dxa"/>
            <w:vAlign w:val="center"/>
          </w:tcPr>
          <w:p w14:paraId="39F123F1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72FC98A8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F796981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FD15919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D53E8C1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714F155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97B0CB7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0A3A339" w14:textId="77777777" w:rsidR="008207F7" w:rsidRPr="00C47135" w:rsidRDefault="008207F7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135" w:rsidRPr="00C47135" w14:paraId="1B166EAE" w14:textId="77777777" w:rsidTr="00A154EF">
        <w:tc>
          <w:tcPr>
            <w:tcW w:w="3981" w:type="dxa"/>
            <w:vAlign w:val="center"/>
          </w:tcPr>
          <w:p w14:paraId="42D44586" w14:textId="4D6830BD" w:rsidR="00C47135" w:rsidRPr="00396913" w:rsidRDefault="00C47135" w:rsidP="00396913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647C0C08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05E66D65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3FF710A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9A07310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B6AEBFB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1FEBB462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3073CFEC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5FC4CAD" w14:textId="77777777" w:rsidR="00C47135" w:rsidRPr="00C47135" w:rsidRDefault="00C47135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13" w:rsidRPr="00C47135" w14:paraId="3971E650" w14:textId="77777777" w:rsidTr="00A154EF">
        <w:tc>
          <w:tcPr>
            <w:tcW w:w="3981" w:type="dxa"/>
            <w:vAlign w:val="center"/>
          </w:tcPr>
          <w:p w14:paraId="6C54170B" w14:textId="088AFFB3" w:rsidR="00396913" w:rsidRPr="00FB2026" w:rsidRDefault="00396913" w:rsidP="00FB2026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104F163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4C6E7" w:themeFill="accent1" w:themeFillTint="66"/>
            <w:vAlign w:val="center"/>
          </w:tcPr>
          <w:p w14:paraId="65AD4E7C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4A8DE10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1D5BDEB0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87AB55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68CB02A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1E4F0D02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9B2BFB8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13" w:rsidRPr="00C47135" w14:paraId="717371D5" w14:textId="77777777" w:rsidTr="00396913">
        <w:tc>
          <w:tcPr>
            <w:tcW w:w="3981" w:type="dxa"/>
            <w:vAlign w:val="center"/>
          </w:tcPr>
          <w:p w14:paraId="2AF86CA8" w14:textId="57AAB5FE" w:rsidR="00396913" w:rsidRPr="00626F1B" w:rsidRDefault="00626F1B" w:rsidP="00626F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COLLECTION PHASE</w:t>
            </w:r>
          </w:p>
        </w:tc>
        <w:tc>
          <w:tcPr>
            <w:tcW w:w="667" w:type="dxa"/>
            <w:vAlign w:val="center"/>
          </w:tcPr>
          <w:p w14:paraId="176D41A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57D38C0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3FF712B7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495BEB7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FC229D9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6CC72F3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C62BDB3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73146BAB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13" w:rsidRPr="00C47135" w14:paraId="273C25C7" w14:textId="77777777" w:rsidTr="00A154EF">
        <w:tc>
          <w:tcPr>
            <w:tcW w:w="3981" w:type="dxa"/>
            <w:vAlign w:val="center"/>
          </w:tcPr>
          <w:p w14:paraId="0226D9BE" w14:textId="23500429" w:rsidR="00396913" w:rsidRPr="00FB2026" w:rsidRDefault="00396913" w:rsidP="00FB2026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77BEEC5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883BD81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5109E8B6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43168B6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68AB261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1EA3025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045CD7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0E90A48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26" w:rsidRPr="00C47135" w14:paraId="40598D8C" w14:textId="77777777" w:rsidTr="00A154EF">
        <w:tc>
          <w:tcPr>
            <w:tcW w:w="3981" w:type="dxa"/>
            <w:vAlign w:val="center"/>
          </w:tcPr>
          <w:p w14:paraId="466FA3C8" w14:textId="77777777" w:rsidR="00FB2026" w:rsidRPr="00FB2026" w:rsidRDefault="00FB2026" w:rsidP="00FB2026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3EAFDB2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29136324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7CF2EDF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12461634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5CE7FAA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E046E20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B01CBDF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EF6E26E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13" w:rsidRPr="00C47135" w14:paraId="3D387F30" w14:textId="77777777" w:rsidTr="00396913">
        <w:tc>
          <w:tcPr>
            <w:tcW w:w="3981" w:type="dxa"/>
            <w:vAlign w:val="center"/>
          </w:tcPr>
          <w:p w14:paraId="786A2E57" w14:textId="55E0B314" w:rsidR="00396913" w:rsidRPr="00626F1B" w:rsidRDefault="00626F1B" w:rsidP="00626F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 WRITING PHASE</w:t>
            </w:r>
          </w:p>
        </w:tc>
        <w:tc>
          <w:tcPr>
            <w:tcW w:w="667" w:type="dxa"/>
            <w:vAlign w:val="center"/>
          </w:tcPr>
          <w:p w14:paraId="1C80AF07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0FC756EB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D5E31C3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1A7EF1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328D0D51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844B7D6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F4D7DA9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ADA8BF8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13" w:rsidRPr="00C47135" w14:paraId="414448D8" w14:textId="77777777" w:rsidTr="00A154EF">
        <w:tc>
          <w:tcPr>
            <w:tcW w:w="3981" w:type="dxa"/>
            <w:vAlign w:val="center"/>
          </w:tcPr>
          <w:p w14:paraId="7AB638BF" w14:textId="70148095" w:rsidR="00396913" w:rsidRPr="00FB2026" w:rsidRDefault="00396913" w:rsidP="00FB2026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3BABF9F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FA22977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1B1D89CF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73C79E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461E6DFC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186E442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93A2DD7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7FD737D" w14:textId="77777777" w:rsidR="00396913" w:rsidRPr="00C47135" w:rsidRDefault="00396913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26" w:rsidRPr="00C47135" w14:paraId="1C736933" w14:textId="77777777" w:rsidTr="00A154EF">
        <w:tc>
          <w:tcPr>
            <w:tcW w:w="3981" w:type="dxa"/>
            <w:vAlign w:val="center"/>
          </w:tcPr>
          <w:p w14:paraId="7E4E2185" w14:textId="77777777" w:rsidR="00FB2026" w:rsidRPr="00FB2026" w:rsidRDefault="00FB2026" w:rsidP="00FB2026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1668F689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3C6AC20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7C636F9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5A379EC9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2D364EE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2D3C51F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B4C6E7" w:themeFill="accent1" w:themeFillTint="66"/>
            <w:vAlign w:val="center"/>
          </w:tcPr>
          <w:p w14:paraId="313DF4C1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B4C6E7" w:themeFill="accent1" w:themeFillTint="66"/>
            <w:vAlign w:val="center"/>
          </w:tcPr>
          <w:p w14:paraId="30E35653" w14:textId="77777777" w:rsidR="00FB2026" w:rsidRPr="00C47135" w:rsidRDefault="00FB2026" w:rsidP="0082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FB9885" w14:textId="0263B7BA" w:rsidR="008207F7" w:rsidRDefault="008207F7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p w14:paraId="468C1025" w14:textId="77777777" w:rsidR="00A154EF" w:rsidRDefault="00A154EF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3BA4" w14:paraId="6396C545" w14:textId="77777777" w:rsidTr="00A24E51">
        <w:trPr>
          <w:trHeight w:val="39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601A14A4" w14:textId="3576E507" w:rsidR="00353BA4" w:rsidRPr="00990911" w:rsidRDefault="00353BA4" w:rsidP="00D65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990911">
              <w:rPr>
                <w:rFonts w:ascii="Times New Roman" w:hAnsi="Times New Roman" w:cs="Times New Roman"/>
                <w:b/>
                <w:bCs/>
              </w:rPr>
              <w:t>MATRIX OF EVALUATION QUESTIONS AND DATA SOURCES</w:t>
            </w:r>
          </w:p>
        </w:tc>
      </w:tr>
    </w:tbl>
    <w:p w14:paraId="4811B609" w14:textId="3CFB3D8C" w:rsidR="00353BA4" w:rsidRDefault="00353BA4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74FCF4" w14:textId="61F7EC22" w:rsidR="00022F85" w:rsidRDefault="00022F85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22F85">
        <w:rPr>
          <w:rFonts w:ascii="Times New Roman" w:hAnsi="Times New Roman" w:cs="Times New Roman"/>
        </w:rPr>
        <w:t>As mentioned before, evaluation T</w:t>
      </w:r>
      <w:r>
        <w:rPr>
          <w:rFonts w:ascii="Times New Roman" w:hAnsi="Times New Roman" w:cs="Times New Roman"/>
        </w:rPr>
        <w:t>O</w:t>
      </w:r>
      <w:r w:rsidRPr="00022F85">
        <w:rPr>
          <w:rFonts w:ascii="Times New Roman" w:hAnsi="Times New Roman" w:cs="Times New Roman"/>
        </w:rPr>
        <w:t>Rs typically list the key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>evaluation questions. An inception report is an opportunity to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>take a closer view of these questions, add and/or modify based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>on the initial review of documents and briefings. Evaluator(s)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>should also identify the evaluation questions (as in the T</w:t>
      </w:r>
      <w:r>
        <w:rPr>
          <w:rFonts w:ascii="Times New Roman" w:hAnsi="Times New Roman" w:cs="Times New Roman"/>
        </w:rPr>
        <w:t>O</w:t>
      </w:r>
      <w:r w:rsidRPr="00022F85">
        <w:rPr>
          <w:rFonts w:ascii="Times New Roman" w:hAnsi="Times New Roman" w:cs="Times New Roman"/>
        </w:rPr>
        <w:t>R) that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>seem to be inconsistent with the scope of the evaluation or for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>which data sources seem to be inadequate and discuss them</w:t>
      </w:r>
      <w:r>
        <w:rPr>
          <w:rFonts w:ascii="Times New Roman" w:hAnsi="Times New Roman" w:cs="Times New Roman"/>
        </w:rPr>
        <w:t xml:space="preserve"> </w:t>
      </w:r>
      <w:r w:rsidRPr="00022F85">
        <w:rPr>
          <w:rFonts w:ascii="Times New Roman" w:hAnsi="Times New Roman" w:cs="Times New Roman"/>
        </w:rPr>
        <w:t xml:space="preserve">with the </w:t>
      </w:r>
      <w:r>
        <w:rPr>
          <w:rFonts w:ascii="Times New Roman" w:hAnsi="Times New Roman" w:cs="Times New Roman"/>
        </w:rPr>
        <w:t>CACH/YENI</w:t>
      </w:r>
      <w:r w:rsidRPr="00022F85">
        <w:rPr>
          <w:rFonts w:ascii="Times New Roman" w:hAnsi="Times New Roman" w:cs="Times New Roman"/>
        </w:rPr>
        <w:t xml:space="preserve"> in advance.</w:t>
      </w:r>
    </w:p>
    <w:p w14:paraId="4AB64728" w14:textId="77777777" w:rsidR="00556B2C" w:rsidRDefault="003B14AA" w:rsidP="007F33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4AA">
        <w:rPr>
          <w:rFonts w:ascii="Times New Roman" w:hAnsi="Times New Roman" w:cs="Times New Roman"/>
        </w:rPr>
        <w:t>The questions should be organized in the form of Evaluation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>Question Matrix (EQM) and presented as part of the inception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>report. EQM is a tool that organizes the evaluation questions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>and plans for collecting information to answer them by means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 xml:space="preserve">of appropriate data collection techniques. </w:t>
      </w:r>
    </w:p>
    <w:p w14:paraId="7F2AC9B0" w14:textId="4DD49E33" w:rsidR="003B14AA" w:rsidRDefault="003B14AA" w:rsidP="00D658F1">
      <w:pPr>
        <w:spacing w:line="240" w:lineRule="auto"/>
        <w:jc w:val="both"/>
        <w:rPr>
          <w:rFonts w:ascii="Times New Roman" w:hAnsi="Times New Roman" w:cs="Times New Roman"/>
        </w:rPr>
      </w:pPr>
      <w:r w:rsidRPr="003B14AA">
        <w:rPr>
          <w:rFonts w:ascii="Times New Roman" w:hAnsi="Times New Roman" w:cs="Times New Roman"/>
        </w:rPr>
        <w:t>The matrix helps plan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>the evaluation throughout the conceptualization, stakeholder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>identification, fieldwork, data analysis and report writing</w:t>
      </w:r>
      <w:r>
        <w:rPr>
          <w:rFonts w:ascii="Times New Roman" w:hAnsi="Times New Roman" w:cs="Times New Roman"/>
        </w:rPr>
        <w:t xml:space="preserve"> </w:t>
      </w:r>
      <w:r w:rsidRPr="003B14AA">
        <w:rPr>
          <w:rFonts w:ascii="Times New Roman" w:hAnsi="Times New Roman" w:cs="Times New Roman"/>
        </w:rPr>
        <w:t>phases.</w:t>
      </w:r>
    </w:p>
    <w:p w14:paraId="70C5EE1B" w14:textId="00D4EB46" w:rsidR="00556B2C" w:rsidRDefault="00556B2C" w:rsidP="007F3342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556B2C">
        <w:rPr>
          <w:rFonts w:ascii="Times New Roman" w:hAnsi="Times New Roman" w:cs="Times New Roman"/>
        </w:rPr>
        <w:t>The core components of an EQM are specified below:</w:t>
      </w:r>
    </w:p>
    <w:p w14:paraId="035294EE" w14:textId="1FF31586" w:rsidR="00556B2C" w:rsidRDefault="00556B2C" w:rsidP="00556B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56B2C">
        <w:rPr>
          <w:rFonts w:ascii="Times New Roman" w:hAnsi="Times New Roman" w:cs="Times New Roman"/>
        </w:rPr>
        <w:t>The evaluation questions to be answered,</w:t>
      </w:r>
      <w:r w:rsidR="00AA5EC8">
        <w:rPr>
          <w:rFonts w:ascii="Times New Roman" w:hAnsi="Times New Roman" w:cs="Times New Roman"/>
        </w:rPr>
        <w:t xml:space="preserve"> as per each evaluation criteria,</w:t>
      </w:r>
      <w:r w:rsidRPr="00556B2C">
        <w:rPr>
          <w:rFonts w:ascii="Times New Roman" w:hAnsi="Times New Roman" w:cs="Times New Roman"/>
        </w:rPr>
        <w:t xml:space="preserve"> which are found in the Terms of Reference. In preparing the EQM, the evaluation team</w:t>
      </w:r>
      <w:r>
        <w:rPr>
          <w:rFonts w:ascii="Times New Roman" w:hAnsi="Times New Roman" w:cs="Times New Roman"/>
        </w:rPr>
        <w:t xml:space="preserve"> </w:t>
      </w:r>
      <w:r w:rsidRPr="00556B2C">
        <w:rPr>
          <w:rFonts w:ascii="Times New Roman" w:hAnsi="Times New Roman" w:cs="Times New Roman"/>
        </w:rPr>
        <w:t>can decide to break down the questions into sub-</w:t>
      </w:r>
      <w:r w:rsidR="007F3342" w:rsidRPr="00556B2C">
        <w:rPr>
          <w:rFonts w:ascii="Times New Roman" w:hAnsi="Times New Roman" w:cs="Times New Roman"/>
        </w:rPr>
        <w:t>questions</w:t>
      </w:r>
      <w:r w:rsidRPr="00556B2C">
        <w:rPr>
          <w:rFonts w:ascii="Times New Roman" w:hAnsi="Times New Roman" w:cs="Times New Roman"/>
        </w:rPr>
        <w:t xml:space="preserve"> to better address the overall objectives of the evaluation</w:t>
      </w:r>
      <w:r>
        <w:rPr>
          <w:rFonts w:ascii="Times New Roman" w:hAnsi="Times New Roman" w:cs="Times New Roman"/>
        </w:rPr>
        <w:t>.</w:t>
      </w:r>
    </w:p>
    <w:p w14:paraId="72B169D6" w14:textId="297A34A9" w:rsidR="00556B2C" w:rsidRDefault="00AA5EC8" w:rsidP="00556B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Indicators.</w:t>
      </w:r>
    </w:p>
    <w:p w14:paraId="1D0FB002" w14:textId="110FBAB1" w:rsidR="00556B2C" w:rsidRDefault="00556B2C" w:rsidP="00556B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56B2C">
        <w:rPr>
          <w:rFonts w:ascii="Times New Roman" w:hAnsi="Times New Roman" w:cs="Times New Roman"/>
        </w:rPr>
        <w:t xml:space="preserve">The data sources and the data collection </w:t>
      </w:r>
      <w:r w:rsidR="00AA5EC8">
        <w:rPr>
          <w:rFonts w:ascii="Times New Roman" w:hAnsi="Times New Roman" w:cs="Times New Roman"/>
        </w:rPr>
        <w:t>methods/</w:t>
      </w:r>
      <w:r w:rsidRPr="00556B2C">
        <w:rPr>
          <w:rFonts w:ascii="Times New Roman" w:hAnsi="Times New Roman" w:cs="Times New Roman"/>
        </w:rPr>
        <w:t>instruments</w:t>
      </w:r>
      <w:r>
        <w:rPr>
          <w:rFonts w:ascii="Times New Roman" w:hAnsi="Times New Roman" w:cs="Times New Roman"/>
        </w:rPr>
        <w:t>.</w:t>
      </w:r>
    </w:p>
    <w:p w14:paraId="6BEFD2EA" w14:textId="63A6C299" w:rsidR="00556B2C" w:rsidRDefault="00556B2C" w:rsidP="00556B2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56B2C">
        <w:rPr>
          <w:rFonts w:ascii="Times New Roman" w:hAnsi="Times New Roman" w:cs="Times New Roman"/>
        </w:rPr>
        <w:t>The key stakeholders or informants to engage with to gather the information needed</w:t>
      </w:r>
      <w:r>
        <w:rPr>
          <w:rFonts w:ascii="Times New Roman" w:hAnsi="Times New Roman" w:cs="Times New Roman"/>
        </w:rPr>
        <w:t>.</w:t>
      </w:r>
    </w:p>
    <w:p w14:paraId="78B317C1" w14:textId="1CD62339" w:rsidR="00063AEA" w:rsidRPr="00063AEA" w:rsidRDefault="00063AEA" w:rsidP="00063AEA">
      <w:pPr>
        <w:spacing w:line="240" w:lineRule="auto"/>
        <w:jc w:val="both"/>
        <w:rPr>
          <w:rFonts w:ascii="Times New Roman" w:hAnsi="Times New Roman" w:cs="Times New Roman"/>
        </w:rPr>
      </w:pPr>
      <w:r w:rsidRPr="00063AEA">
        <w:rPr>
          <w:rFonts w:ascii="Times New Roman" w:hAnsi="Times New Roman" w:cs="Times New Roman"/>
        </w:rPr>
        <w:t>The structure of the EQM (Illustrative)</w:t>
      </w:r>
      <w:r w:rsidR="00AA5EC8">
        <w:rPr>
          <w:rFonts w:ascii="Times New Roman" w:hAnsi="Times New Roman" w:cs="Times New Roman"/>
        </w:rPr>
        <w:t xml:space="preserve"> </w:t>
      </w:r>
      <w:r w:rsidR="00AA5EC8" w:rsidRPr="00063AEA">
        <w:rPr>
          <w:rFonts w:ascii="Times New Roman" w:hAnsi="Times New Roman" w:cs="Times New Roman"/>
        </w:rPr>
        <w:t xml:space="preserve">is </w:t>
      </w:r>
      <w:r w:rsidR="00AA5EC8">
        <w:rPr>
          <w:rFonts w:ascii="Times New Roman" w:hAnsi="Times New Roman" w:cs="Times New Roman"/>
        </w:rPr>
        <w:t xml:space="preserve">attached as </w:t>
      </w:r>
      <w:r w:rsidR="00AA5EC8" w:rsidRPr="00107F2B">
        <w:rPr>
          <w:rFonts w:ascii="Times New Roman" w:hAnsi="Times New Roman" w:cs="Times New Roman"/>
          <w:u w:val="single"/>
        </w:rPr>
        <w:t>Annex III</w:t>
      </w:r>
      <w:r w:rsidR="00AA5EC8">
        <w:rPr>
          <w:rFonts w:ascii="Times New Roman" w:hAnsi="Times New Roman" w:cs="Times New Roman"/>
        </w:rPr>
        <w:t xml:space="preserve"> of this TOR.</w:t>
      </w:r>
    </w:p>
    <w:p w14:paraId="7E50ADFF" w14:textId="6AFD05DB" w:rsidR="00353BA4" w:rsidRDefault="009273DB" w:rsidP="009273DB">
      <w:pPr>
        <w:spacing w:line="240" w:lineRule="auto"/>
        <w:jc w:val="both"/>
        <w:rPr>
          <w:rFonts w:ascii="Times New Roman" w:hAnsi="Times New Roman" w:cs="Times New Roman"/>
        </w:rPr>
      </w:pPr>
      <w:r w:rsidRPr="009273DB">
        <w:rPr>
          <w:rFonts w:ascii="Times New Roman" w:hAnsi="Times New Roman" w:cs="Times New Roman"/>
        </w:rPr>
        <w:t>Interview protocols, survey outlines and other data collection protocols may be added to the inception report to supplement</w:t>
      </w:r>
      <w:r>
        <w:rPr>
          <w:rFonts w:ascii="Times New Roman" w:hAnsi="Times New Roman" w:cs="Times New Roman"/>
        </w:rPr>
        <w:t xml:space="preserve"> </w:t>
      </w:r>
      <w:r w:rsidRPr="009273DB">
        <w:rPr>
          <w:rFonts w:ascii="Times New Roman" w:hAnsi="Times New Roman" w:cs="Times New Roman"/>
        </w:rPr>
        <w:t>the details included in the EQM. The EQM is an evolving document like any other planning tool and is subject to updates as the</w:t>
      </w:r>
      <w:r>
        <w:rPr>
          <w:rFonts w:ascii="Times New Roman" w:hAnsi="Times New Roman" w:cs="Times New Roman"/>
        </w:rPr>
        <w:t xml:space="preserve"> </w:t>
      </w:r>
      <w:r w:rsidRPr="009273DB">
        <w:rPr>
          <w:rFonts w:ascii="Times New Roman" w:hAnsi="Times New Roman" w:cs="Times New Roman"/>
        </w:rPr>
        <w:t>evaluation progresses.</w:t>
      </w:r>
    </w:p>
    <w:p w14:paraId="05DF3C54" w14:textId="51BE62D7" w:rsidR="00353BA4" w:rsidRDefault="00353BA4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1325" w14:paraId="77198996" w14:textId="77777777" w:rsidTr="00A24E51">
        <w:trPr>
          <w:trHeight w:val="395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77C5B765" w14:textId="7E95605B" w:rsidR="009F1325" w:rsidRPr="00353BA4" w:rsidRDefault="009F1325" w:rsidP="00D65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3BA4">
              <w:rPr>
                <w:rFonts w:ascii="Times New Roman" w:hAnsi="Times New Roman" w:cs="Times New Roman"/>
              </w:rPr>
              <w:lastRenderedPageBreak/>
              <w:t xml:space="preserve">ADHERENCE </w:t>
            </w:r>
          </w:p>
        </w:tc>
      </w:tr>
    </w:tbl>
    <w:p w14:paraId="2B5505A1" w14:textId="5AB9DBBE" w:rsidR="009F1325" w:rsidRDefault="009F1325" w:rsidP="00D658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FEC34" w14:textId="17E04337" w:rsidR="009349B5" w:rsidRDefault="009349B5" w:rsidP="00D658F1">
      <w:pPr>
        <w:spacing w:line="240" w:lineRule="auto"/>
        <w:jc w:val="both"/>
        <w:rPr>
          <w:rFonts w:ascii="Times New Roman" w:hAnsi="Times New Roman" w:cs="Times New Roman"/>
        </w:rPr>
      </w:pPr>
      <w:r w:rsidRPr="009349B5">
        <w:rPr>
          <w:rFonts w:ascii="Times New Roman" w:hAnsi="Times New Roman" w:cs="Times New Roman"/>
        </w:rPr>
        <w:t>The Inception Report should include the consultant’s acknowledgement of the formatting</w:t>
      </w:r>
      <w:r>
        <w:rPr>
          <w:rFonts w:ascii="Times New Roman" w:hAnsi="Times New Roman" w:cs="Times New Roman"/>
        </w:rPr>
        <w:t xml:space="preserve"> </w:t>
      </w:r>
      <w:r w:rsidRPr="009349B5">
        <w:rPr>
          <w:rFonts w:ascii="Times New Roman" w:hAnsi="Times New Roman" w:cs="Times New Roman"/>
        </w:rPr>
        <w:t>requirements, especially with regard to:</w:t>
      </w:r>
    </w:p>
    <w:p w14:paraId="553647FB" w14:textId="77777777" w:rsidR="009349B5" w:rsidRDefault="009349B5" w:rsidP="00D658F1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49B5">
        <w:rPr>
          <w:rFonts w:ascii="Times New Roman" w:hAnsi="Times New Roman" w:cs="Times New Roman"/>
        </w:rPr>
        <w:t>Formulating and presenting recommendations.</w:t>
      </w:r>
    </w:p>
    <w:p w14:paraId="2EED74E0" w14:textId="1E743C8E" w:rsidR="009349B5" w:rsidRPr="009349B5" w:rsidRDefault="009349B5" w:rsidP="00D658F1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49B5">
        <w:rPr>
          <w:rFonts w:ascii="Times New Roman" w:hAnsi="Times New Roman" w:cs="Times New Roman"/>
        </w:rPr>
        <w:t>Identifying and presenting lessons learned and filling in the appropriate templates.</w:t>
      </w:r>
    </w:p>
    <w:p w14:paraId="6AA89338" w14:textId="0D67311B" w:rsidR="009349B5" w:rsidRDefault="009349B5" w:rsidP="00D658F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349B5">
        <w:rPr>
          <w:rFonts w:ascii="Times New Roman" w:hAnsi="Times New Roman" w:cs="Times New Roman"/>
        </w:rPr>
        <w:t>Identifying and presenting emerging good practices</w:t>
      </w:r>
      <w:r>
        <w:rPr>
          <w:rFonts w:ascii="Times New Roman" w:hAnsi="Times New Roman" w:cs="Times New Roman"/>
        </w:rPr>
        <w:t xml:space="preserve"> </w:t>
      </w:r>
      <w:r w:rsidRPr="009349B5">
        <w:rPr>
          <w:rFonts w:ascii="Times New Roman" w:hAnsi="Times New Roman" w:cs="Times New Roman"/>
        </w:rPr>
        <w:t>and filling in the relevant</w:t>
      </w:r>
      <w:r>
        <w:rPr>
          <w:rFonts w:ascii="Times New Roman" w:hAnsi="Times New Roman" w:cs="Times New Roman"/>
        </w:rPr>
        <w:t xml:space="preserve"> </w:t>
      </w:r>
      <w:r w:rsidRPr="009349B5">
        <w:rPr>
          <w:rFonts w:ascii="Times New Roman" w:hAnsi="Times New Roman" w:cs="Times New Roman"/>
        </w:rPr>
        <w:t>templates.</w:t>
      </w:r>
    </w:p>
    <w:p w14:paraId="4AD388EA" w14:textId="129D5AC2" w:rsidR="005F2329" w:rsidRDefault="005F2329" w:rsidP="00D658F1">
      <w:pPr>
        <w:spacing w:line="240" w:lineRule="auto"/>
        <w:jc w:val="both"/>
        <w:rPr>
          <w:rFonts w:ascii="Times New Roman" w:hAnsi="Times New Roman" w:cs="Times New Roman"/>
        </w:rPr>
      </w:pPr>
      <w:r w:rsidRPr="005F2329">
        <w:rPr>
          <w:rFonts w:ascii="Times New Roman" w:hAnsi="Times New Roman" w:cs="Times New Roman"/>
        </w:rPr>
        <w:t xml:space="preserve">The </w:t>
      </w:r>
      <w:r w:rsidR="00F8637D">
        <w:rPr>
          <w:rFonts w:ascii="Times New Roman" w:hAnsi="Times New Roman" w:cs="Times New Roman"/>
        </w:rPr>
        <w:t>CACH/YENI</w:t>
      </w:r>
      <w:r w:rsidRPr="005F2329">
        <w:rPr>
          <w:rFonts w:ascii="Times New Roman" w:hAnsi="Times New Roman" w:cs="Times New Roman"/>
        </w:rPr>
        <w:t xml:space="preserve"> should discuss the inception report with the evaluator until all points are mutually understood and agreed upon. </w:t>
      </w:r>
    </w:p>
    <w:p w14:paraId="3E9F3C1D" w14:textId="77777777" w:rsidR="004B610A" w:rsidRPr="005F2329" w:rsidRDefault="004B610A" w:rsidP="00D658F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B610A" w:rsidRPr="005F23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9D3F1" w14:textId="77777777" w:rsidR="002343A3" w:rsidRDefault="002343A3" w:rsidP="00396913">
      <w:pPr>
        <w:spacing w:after="0" w:line="240" w:lineRule="auto"/>
      </w:pPr>
      <w:r>
        <w:separator/>
      </w:r>
    </w:p>
  </w:endnote>
  <w:endnote w:type="continuationSeparator" w:id="0">
    <w:p w14:paraId="65F57857" w14:textId="77777777" w:rsidR="002343A3" w:rsidRDefault="002343A3" w:rsidP="003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521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6820C" w14:textId="4A2B9BB5" w:rsidR="00586377" w:rsidRDefault="00586377">
            <w:pPr>
              <w:pStyle w:val="Footer"/>
              <w:jc w:val="right"/>
            </w:pPr>
            <w:r w:rsidRPr="0058637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863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37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863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81AA" w14:textId="77777777" w:rsidR="00586377" w:rsidRDefault="00586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07FA5" w14:textId="77777777" w:rsidR="002343A3" w:rsidRDefault="002343A3" w:rsidP="00396913">
      <w:pPr>
        <w:spacing w:after="0" w:line="240" w:lineRule="auto"/>
      </w:pPr>
      <w:r>
        <w:separator/>
      </w:r>
    </w:p>
  </w:footnote>
  <w:footnote w:type="continuationSeparator" w:id="0">
    <w:p w14:paraId="147CA2D8" w14:textId="77777777" w:rsidR="002343A3" w:rsidRDefault="002343A3" w:rsidP="00396913">
      <w:pPr>
        <w:spacing w:after="0" w:line="240" w:lineRule="auto"/>
      </w:pPr>
      <w:r>
        <w:continuationSeparator/>
      </w:r>
    </w:p>
  </w:footnote>
  <w:footnote w:id="1">
    <w:p w14:paraId="615320D4" w14:textId="7AB1B370" w:rsidR="00396913" w:rsidRPr="00396913" w:rsidRDefault="00396913">
      <w:pPr>
        <w:pStyle w:val="FootnoteText"/>
        <w:rPr>
          <w:rFonts w:ascii="Times New Roman" w:hAnsi="Times New Roman" w:cs="Times New Roman"/>
        </w:rPr>
      </w:pPr>
      <w:r w:rsidRPr="00396913">
        <w:rPr>
          <w:rStyle w:val="FootnoteReference"/>
          <w:rFonts w:ascii="Times New Roman" w:hAnsi="Times New Roman" w:cs="Times New Roman"/>
        </w:rPr>
        <w:footnoteRef/>
      </w:r>
      <w:r w:rsidRPr="00396913">
        <w:rPr>
          <w:rFonts w:ascii="Times New Roman" w:hAnsi="Times New Roman" w:cs="Times New Roman"/>
        </w:rPr>
        <w:t xml:space="preserve"> To be updated/customized by the evaluation consultant</w:t>
      </w:r>
      <w:r w:rsidR="002437C7">
        <w:rPr>
          <w:rFonts w:ascii="Times New Roman" w:hAnsi="Times New Roman" w:cs="Times New Roman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4C89" w14:textId="0233BA47" w:rsidR="00A2416B" w:rsidRDefault="00A241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984D2" wp14:editId="48A7EF0C">
          <wp:simplePos x="0" y="0"/>
          <wp:positionH relativeFrom="margin">
            <wp:posOffset>0</wp:posOffset>
          </wp:positionH>
          <wp:positionV relativeFrom="paragraph">
            <wp:posOffset>-147320</wp:posOffset>
          </wp:positionV>
          <wp:extent cx="1857375" cy="351790"/>
          <wp:effectExtent l="0" t="0" r="9525" b="0"/>
          <wp:wrapThrough wrapText="bothSides">
            <wp:wrapPolygon edited="0">
              <wp:start x="0" y="0"/>
              <wp:lineTo x="0" y="19884"/>
              <wp:lineTo x="21489" y="19884"/>
              <wp:lineTo x="21489" y="0"/>
              <wp:lineTo x="0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E936A90" wp14:editId="31B6B0C3">
          <wp:simplePos x="0" y="0"/>
          <wp:positionH relativeFrom="margin">
            <wp:posOffset>4206240</wp:posOffset>
          </wp:positionH>
          <wp:positionV relativeFrom="paragraph">
            <wp:posOffset>-174902</wp:posOffset>
          </wp:positionV>
          <wp:extent cx="1486535" cy="349250"/>
          <wp:effectExtent l="0" t="0" r="0" b="0"/>
          <wp:wrapThrough wrapText="bothSides">
            <wp:wrapPolygon edited="0">
              <wp:start x="0" y="0"/>
              <wp:lineTo x="0" y="20029"/>
              <wp:lineTo x="21314" y="20029"/>
              <wp:lineTo x="21314" y="0"/>
              <wp:lineTo x="0" y="0"/>
            </wp:wrapPolygon>
          </wp:wrapThrough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12F"/>
    <w:multiLevelType w:val="hybridMultilevel"/>
    <w:tmpl w:val="FF4EE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301"/>
    <w:multiLevelType w:val="hybridMultilevel"/>
    <w:tmpl w:val="FF4EE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70CD"/>
    <w:multiLevelType w:val="hybridMultilevel"/>
    <w:tmpl w:val="DBD04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A6C"/>
    <w:multiLevelType w:val="hybridMultilevel"/>
    <w:tmpl w:val="FF4EE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10CA"/>
    <w:multiLevelType w:val="hybridMultilevel"/>
    <w:tmpl w:val="821E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4D0"/>
    <w:multiLevelType w:val="hybridMultilevel"/>
    <w:tmpl w:val="3D8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D2FFD"/>
    <w:multiLevelType w:val="hybridMultilevel"/>
    <w:tmpl w:val="FF4EE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87B47"/>
    <w:multiLevelType w:val="multilevel"/>
    <w:tmpl w:val="D7BE0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5132CEC"/>
    <w:multiLevelType w:val="hybridMultilevel"/>
    <w:tmpl w:val="FF4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5BDA"/>
    <w:multiLevelType w:val="hybridMultilevel"/>
    <w:tmpl w:val="FF4EE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90580">
    <w:abstractNumId w:val="8"/>
  </w:num>
  <w:num w:numId="2" w16cid:durableId="1167672240">
    <w:abstractNumId w:val="6"/>
  </w:num>
  <w:num w:numId="3" w16cid:durableId="1950772800">
    <w:abstractNumId w:val="3"/>
  </w:num>
  <w:num w:numId="4" w16cid:durableId="1305962342">
    <w:abstractNumId w:val="1"/>
  </w:num>
  <w:num w:numId="5" w16cid:durableId="1990089610">
    <w:abstractNumId w:val="2"/>
  </w:num>
  <w:num w:numId="6" w16cid:durableId="279606926">
    <w:abstractNumId w:val="9"/>
  </w:num>
  <w:num w:numId="7" w16cid:durableId="1488085483">
    <w:abstractNumId w:val="0"/>
  </w:num>
  <w:num w:numId="8" w16cid:durableId="556286617">
    <w:abstractNumId w:val="4"/>
  </w:num>
  <w:num w:numId="9" w16cid:durableId="1507357914">
    <w:abstractNumId w:val="5"/>
  </w:num>
  <w:num w:numId="10" w16cid:durableId="364792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tDA1NTIzNDM2NbFQ0lEKTi0uzszPAykwrAUAh+S4HCwAAAA="/>
  </w:docVars>
  <w:rsids>
    <w:rsidRoot w:val="00AE2658"/>
    <w:rsid w:val="00022F85"/>
    <w:rsid w:val="00063AEA"/>
    <w:rsid w:val="00107F2B"/>
    <w:rsid w:val="00130E76"/>
    <w:rsid w:val="00146261"/>
    <w:rsid w:val="0022748B"/>
    <w:rsid w:val="00227B24"/>
    <w:rsid w:val="002343A3"/>
    <w:rsid w:val="002437C7"/>
    <w:rsid w:val="00287D11"/>
    <w:rsid w:val="002C462F"/>
    <w:rsid w:val="00310637"/>
    <w:rsid w:val="003225F0"/>
    <w:rsid w:val="0033185A"/>
    <w:rsid w:val="00353BA4"/>
    <w:rsid w:val="0037792E"/>
    <w:rsid w:val="0038667D"/>
    <w:rsid w:val="00396913"/>
    <w:rsid w:val="003A7E93"/>
    <w:rsid w:val="003B14AA"/>
    <w:rsid w:val="003B2954"/>
    <w:rsid w:val="003B772B"/>
    <w:rsid w:val="00422626"/>
    <w:rsid w:val="00477909"/>
    <w:rsid w:val="004B610A"/>
    <w:rsid w:val="004C5F05"/>
    <w:rsid w:val="004D1EEE"/>
    <w:rsid w:val="00541040"/>
    <w:rsid w:val="00546A9A"/>
    <w:rsid w:val="00556B2C"/>
    <w:rsid w:val="00586377"/>
    <w:rsid w:val="00590670"/>
    <w:rsid w:val="005F2329"/>
    <w:rsid w:val="00606811"/>
    <w:rsid w:val="00607735"/>
    <w:rsid w:val="00626F1B"/>
    <w:rsid w:val="0067385C"/>
    <w:rsid w:val="00691329"/>
    <w:rsid w:val="006A5358"/>
    <w:rsid w:val="006D6CD0"/>
    <w:rsid w:val="00771679"/>
    <w:rsid w:val="007F3342"/>
    <w:rsid w:val="008207F7"/>
    <w:rsid w:val="009142A0"/>
    <w:rsid w:val="009273DB"/>
    <w:rsid w:val="009349B5"/>
    <w:rsid w:val="00973370"/>
    <w:rsid w:val="00990911"/>
    <w:rsid w:val="00994517"/>
    <w:rsid w:val="009F1325"/>
    <w:rsid w:val="009F4F40"/>
    <w:rsid w:val="00A154EF"/>
    <w:rsid w:val="00A2416B"/>
    <w:rsid w:val="00A65EA5"/>
    <w:rsid w:val="00A84905"/>
    <w:rsid w:val="00AA5EC8"/>
    <w:rsid w:val="00AE2658"/>
    <w:rsid w:val="00B00EEF"/>
    <w:rsid w:val="00B228D3"/>
    <w:rsid w:val="00B22FDD"/>
    <w:rsid w:val="00B2679C"/>
    <w:rsid w:val="00BD74E2"/>
    <w:rsid w:val="00BE6D19"/>
    <w:rsid w:val="00C063CB"/>
    <w:rsid w:val="00C47135"/>
    <w:rsid w:val="00C75034"/>
    <w:rsid w:val="00CD286F"/>
    <w:rsid w:val="00CF6EFA"/>
    <w:rsid w:val="00D26489"/>
    <w:rsid w:val="00D4614C"/>
    <w:rsid w:val="00D658F1"/>
    <w:rsid w:val="00D90EB1"/>
    <w:rsid w:val="00DC6869"/>
    <w:rsid w:val="00DF4E2C"/>
    <w:rsid w:val="00E06697"/>
    <w:rsid w:val="00E34BBC"/>
    <w:rsid w:val="00EC4852"/>
    <w:rsid w:val="00ED0485"/>
    <w:rsid w:val="00F13FA6"/>
    <w:rsid w:val="00F372BC"/>
    <w:rsid w:val="00F63D5D"/>
    <w:rsid w:val="00F716C2"/>
    <w:rsid w:val="00F8637D"/>
    <w:rsid w:val="00F949D2"/>
    <w:rsid w:val="00FA7198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52F3"/>
  <w15:chartTrackingRefBased/>
  <w15:docId w15:val="{F604BC07-EDA8-48BB-B66F-B7789C8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8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69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9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9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77"/>
  </w:style>
  <w:style w:type="paragraph" w:styleId="Footer">
    <w:name w:val="footer"/>
    <w:basedOn w:val="Normal"/>
    <w:link w:val="FooterChar"/>
    <w:uiPriority w:val="99"/>
    <w:unhideWhenUsed/>
    <w:rsid w:val="005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77"/>
  </w:style>
  <w:style w:type="character" w:styleId="CommentReference">
    <w:name w:val="annotation reference"/>
    <w:basedOn w:val="DefaultParagraphFont"/>
    <w:uiPriority w:val="99"/>
    <w:semiHidden/>
    <w:unhideWhenUsed/>
    <w:rsid w:val="00F13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F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6C8A-ACA5-4308-AAA2-C7355995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Hajrizi</dc:creator>
  <cp:keywords/>
  <dc:description/>
  <cp:lastModifiedBy>Bardh Xërxa</cp:lastModifiedBy>
  <cp:revision>81</cp:revision>
  <dcterms:created xsi:type="dcterms:W3CDTF">2023-04-18T08:09:00Z</dcterms:created>
  <dcterms:modified xsi:type="dcterms:W3CDTF">2024-07-16T08:05:00Z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c9a155554c95630815e47a05d8d365d6a979e5a060038ee783309663e21398cf</vt:lpwstr>
  </property>
</Properties>
</file>